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63C" w:rsidRDefault="00AB1499">
      <w:pPr>
        <w:pStyle w:val="1"/>
      </w:pPr>
      <w:proofErr w:type="gramStart"/>
      <w:r>
        <w:rPr>
          <w:rFonts w:hint="eastAsia"/>
        </w:rPr>
        <w:t>识险避险</w:t>
      </w:r>
      <w:proofErr w:type="gramEnd"/>
      <w:r>
        <w:rPr>
          <w:rFonts w:hint="eastAsia"/>
        </w:rPr>
        <w:t xml:space="preserve"> </w:t>
      </w:r>
      <w:proofErr w:type="gramStart"/>
      <w:r>
        <w:rPr>
          <w:rFonts w:hint="eastAsia"/>
        </w:rPr>
        <w:t>汇稳致</w:t>
      </w:r>
      <w:proofErr w:type="gramEnd"/>
      <w:r>
        <w:rPr>
          <w:rFonts w:hint="eastAsia"/>
        </w:rPr>
        <w:t>远【</w:t>
      </w:r>
      <w:r>
        <w:rPr>
          <w:rFonts w:hint="eastAsia"/>
        </w:rPr>
        <w:t>8</w:t>
      </w:r>
      <w:r>
        <w:rPr>
          <w:rFonts w:hint="eastAsia"/>
        </w:rPr>
        <w:t>】</w:t>
      </w:r>
      <w:r>
        <w:rPr>
          <w:rFonts w:hint="eastAsia"/>
        </w:rPr>
        <w:t xml:space="preserve"> </w:t>
      </w:r>
      <w:r>
        <w:rPr>
          <w:rFonts w:hint="eastAsia"/>
        </w:rPr>
        <w:t>理性看待上市公司汇兑损益：分清账面盈亏与真实得失</w:t>
      </w:r>
    </w:p>
    <w:p w:rsidR="00B5163C" w:rsidRDefault="00AB1499">
      <w:r>
        <w:rPr>
          <w:rFonts w:hint="eastAsia"/>
          <w:color w:val="576B95"/>
          <w:sz w:val="23"/>
        </w:rPr>
        <w:t>外汇市场自律机制</w:t>
      </w:r>
    </w:p>
    <w:p w:rsidR="00B5163C" w:rsidRDefault="00AB1499">
      <w:pPr>
        <w:jc w:val="both"/>
      </w:pPr>
      <w:r>
        <w:rPr>
          <w:noProof/>
        </w:rPr>
        <w:drawing>
          <wp:inline distT="0" distB="0" distL="0" distR="0">
            <wp:extent cx="5236210" cy="2225389"/>
            <wp:effectExtent l="0" t="0" r="0" b="0"/>
            <wp:docPr id="2"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rotWithShape="1">
                    <a:blip r:embed="rId5"/>
                    <a:srcRect/>
                    <a:stretch/>
                  </pic:blipFill>
                  <pic:spPr>
                    <a:xfrm rot="21600000">
                      <a:off x="0" y="0"/>
                      <a:ext cx="5236210" cy="2225389"/>
                    </a:xfrm>
                    <a:prstGeom prst="rect">
                      <a:avLst/>
                    </a:prstGeom>
                  </pic:spPr>
                </pic:pic>
              </a:graphicData>
            </a:graphic>
          </wp:inline>
        </w:drawing>
      </w:r>
    </w:p>
    <w:p w:rsidR="00B5163C" w:rsidRDefault="00AB1499">
      <w:pPr>
        <w:spacing w:before="360" w:after="300"/>
        <w:ind w:left="315" w:right="315"/>
        <w:jc w:val="both"/>
      </w:pPr>
      <w:r>
        <w:rPr>
          <w:rFonts w:hint="eastAsia"/>
          <w:sz w:val="26"/>
        </w:rPr>
        <w:t>近年来随着人民币汇率双向波动，弹性进一步增强，“汇兑损益”成为上市公司财报中的高频词。部分媒体片面聚焦汇兑损益对利润的影响，投资者也在互动平台上频频追问，甚至有声音将外汇套期保值本身视为一种风险行为。这种片面</w:t>
      </w:r>
      <w:bookmarkStart w:id="0" w:name="_GoBack"/>
      <w:bookmarkEnd w:id="0"/>
      <w:r>
        <w:rPr>
          <w:rFonts w:hint="eastAsia"/>
          <w:sz w:val="26"/>
        </w:rPr>
        <w:t>关注，让一些企业对外汇套</w:t>
      </w:r>
      <w:proofErr w:type="gramStart"/>
      <w:r>
        <w:rPr>
          <w:rFonts w:hint="eastAsia"/>
          <w:sz w:val="26"/>
        </w:rPr>
        <w:t>保产生</w:t>
      </w:r>
      <w:proofErr w:type="gramEnd"/>
      <w:r>
        <w:rPr>
          <w:rFonts w:hint="eastAsia"/>
          <w:sz w:val="26"/>
        </w:rPr>
        <w:t>抵触情绪，因担心市场负面解读而放弃必要的风险管理手段。</w:t>
      </w:r>
    </w:p>
    <w:p w:rsidR="00B5163C" w:rsidRDefault="00AB1499">
      <w:pPr>
        <w:spacing w:after="300"/>
        <w:ind w:left="315" w:right="315"/>
        <w:jc w:val="both"/>
      </w:pPr>
      <w:r>
        <w:rPr>
          <w:rFonts w:hint="eastAsia"/>
          <w:sz w:val="26"/>
        </w:rPr>
        <w:t>需要厘清的是，财报上数额惊人的汇兑损益，一部分是由于会计处理带来的账面数字波动，不代表真实现金损益；而另一部分是实际货币兑换过程中形成的真实损益，需要通过外汇套</w:t>
      </w:r>
      <w:proofErr w:type="gramStart"/>
      <w:r>
        <w:rPr>
          <w:rFonts w:hint="eastAsia"/>
          <w:sz w:val="26"/>
        </w:rPr>
        <w:t>保加以</w:t>
      </w:r>
      <w:proofErr w:type="gramEnd"/>
      <w:r>
        <w:rPr>
          <w:rFonts w:hint="eastAsia"/>
          <w:sz w:val="26"/>
        </w:rPr>
        <w:t>管理。在开展套保后，也不能只看“汇兑损益”单一科目评判避险成效，需要结合套保损益综合</w:t>
      </w:r>
      <w:proofErr w:type="gramStart"/>
      <w:r>
        <w:rPr>
          <w:rFonts w:hint="eastAsia"/>
          <w:sz w:val="26"/>
        </w:rPr>
        <w:t>研</w:t>
      </w:r>
      <w:proofErr w:type="gramEnd"/>
      <w:r>
        <w:rPr>
          <w:rFonts w:hint="eastAsia"/>
          <w:sz w:val="26"/>
        </w:rPr>
        <w:t>判。</w:t>
      </w:r>
    </w:p>
    <w:p w:rsidR="00B5163C" w:rsidRDefault="00B5163C">
      <w:pPr>
        <w:spacing w:before="225"/>
        <w:jc w:val="both"/>
      </w:pPr>
    </w:p>
    <w:p w:rsidR="00B5163C" w:rsidRDefault="00B5163C">
      <w:pPr>
        <w:spacing w:before="150"/>
        <w:jc w:val="both"/>
      </w:pPr>
    </w:p>
    <w:p w:rsidR="00B5163C" w:rsidRDefault="00B5163C">
      <w:pPr>
        <w:jc w:val="both"/>
      </w:pPr>
    </w:p>
    <w:p w:rsidR="00B5163C" w:rsidRDefault="00B5163C">
      <w:pPr>
        <w:jc w:val="both"/>
      </w:pPr>
    </w:p>
    <w:p w:rsidR="00B5163C" w:rsidRDefault="00AB1499">
      <w:pPr>
        <w:spacing w:before="150"/>
        <w:ind w:left="150" w:right="150"/>
        <w:jc w:val="center"/>
      </w:pPr>
      <w:r>
        <w:rPr>
          <w:color w:val="FFFFFF"/>
          <w:spacing w:val="15"/>
          <w:sz w:val="26"/>
          <w:shd w:val="clear" w:color="auto" w:fill="0089CE"/>
        </w:rPr>
        <w:t> </w:t>
      </w:r>
      <w:r>
        <w:rPr>
          <w:rFonts w:hint="eastAsia"/>
          <w:b/>
          <w:color w:val="FFFFFF"/>
          <w:spacing w:val="15"/>
          <w:sz w:val="26"/>
          <w:shd w:val="clear" w:color="auto" w:fill="0089CE"/>
        </w:rPr>
        <w:t>一、汇兑损益是跨境经营的“必修课”</w:t>
      </w:r>
      <w:r>
        <w:rPr>
          <w:b/>
          <w:color w:val="FFFFFF"/>
          <w:spacing w:val="15"/>
          <w:sz w:val="30"/>
          <w:shd w:val="clear" w:color="auto" w:fill="0089CE"/>
        </w:rPr>
        <w:t> </w:t>
      </w:r>
    </w:p>
    <w:p w:rsidR="00B5163C" w:rsidRDefault="00B5163C">
      <w:pPr>
        <w:jc w:val="both"/>
      </w:pPr>
    </w:p>
    <w:p w:rsidR="00B5163C" w:rsidRDefault="00AB1499">
      <w:pPr>
        <w:spacing w:before="300" w:after="300"/>
        <w:jc w:val="both"/>
      </w:pPr>
      <w:r>
        <w:rPr>
          <w:rFonts w:hint="eastAsia"/>
          <w:spacing w:val="9"/>
          <w:sz w:val="26"/>
          <w:shd w:val="clear" w:color="auto" w:fill="E7F4FF"/>
        </w:rPr>
        <w:lastRenderedPageBreak/>
        <w:t>对于开展进出口、海外业务的企业来说，汇率波动引发的汇兑损益是企业必须面对的课题，企业关键要分清两件事。</w:t>
      </w:r>
    </w:p>
    <w:p w:rsidR="00B5163C" w:rsidRDefault="00AB1499">
      <w:pPr>
        <w:spacing w:after="300"/>
        <w:jc w:val="both"/>
      </w:pPr>
      <w:r>
        <w:rPr>
          <w:rFonts w:hint="eastAsia"/>
          <w:b/>
          <w:spacing w:val="9"/>
          <w:sz w:val="26"/>
          <w:shd w:val="clear" w:color="auto" w:fill="E7F4FF"/>
        </w:rPr>
        <w:t>一是期末报表折算形成的账面汇兑损益。</w:t>
      </w:r>
      <w:r>
        <w:rPr>
          <w:rFonts w:hint="eastAsia"/>
          <w:spacing w:val="9"/>
          <w:sz w:val="26"/>
          <w:shd w:val="clear" w:color="auto" w:fill="E7F4FF"/>
        </w:rPr>
        <w:t>企业发生外币业务时，会按照记账日的即期汇率登记入账；等到编制财务</w:t>
      </w:r>
      <w:r>
        <w:rPr>
          <w:rFonts w:hint="eastAsia"/>
          <w:spacing w:val="9"/>
          <w:sz w:val="26"/>
          <w:shd w:val="clear" w:color="auto" w:fill="E7F4FF"/>
        </w:rPr>
        <w:t>报表时，外币存款、应收账款、应付账款这类货币性项目，又要按照报表日的即期汇率重新换算。同一笔外币资产负债，先后采用两个不同时点的汇率折算，只要汇率发生变动，就会形成账面盈亏并体现在“汇兑损益”项目。</w:t>
      </w:r>
    </w:p>
    <w:p w:rsidR="00B5163C" w:rsidRDefault="00AB1499">
      <w:pPr>
        <w:spacing w:after="300"/>
        <w:jc w:val="both"/>
      </w:pPr>
      <w:r>
        <w:rPr>
          <w:rFonts w:hint="eastAsia"/>
          <w:spacing w:val="9"/>
          <w:sz w:val="26"/>
          <w:shd w:val="clear" w:color="auto" w:fill="E7F4FF"/>
        </w:rPr>
        <w:t>举个例子：一家中资企业，产品在美国卖了</w:t>
      </w:r>
      <w:r>
        <w:rPr>
          <w:rFonts w:hint="eastAsia"/>
          <w:spacing w:val="9"/>
          <w:sz w:val="26"/>
          <w:shd w:val="clear" w:color="auto" w:fill="E7F4FF"/>
        </w:rPr>
        <w:t>1</w:t>
      </w:r>
      <w:r>
        <w:rPr>
          <w:rFonts w:hint="eastAsia"/>
          <w:spacing w:val="9"/>
          <w:sz w:val="26"/>
          <w:shd w:val="clear" w:color="auto" w:fill="E7F4FF"/>
        </w:rPr>
        <w:t>亿美元，计划将美元资金留存当地建厂。</w:t>
      </w:r>
      <w:r>
        <w:rPr>
          <w:rFonts w:hint="eastAsia"/>
          <w:spacing w:val="9"/>
          <w:sz w:val="26"/>
          <w:shd w:val="clear" w:color="auto" w:fill="E7F4FF"/>
        </w:rPr>
        <w:t>3</w:t>
      </w:r>
      <w:r>
        <w:rPr>
          <w:rFonts w:hint="eastAsia"/>
          <w:spacing w:val="9"/>
          <w:sz w:val="26"/>
          <w:shd w:val="clear" w:color="auto" w:fill="E7F4FF"/>
        </w:rPr>
        <w:t>个月后，美元兑人民币汇率从</w:t>
      </w:r>
      <w:r>
        <w:rPr>
          <w:rFonts w:hint="eastAsia"/>
          <w:spacing w:val="9"/>
          <w:sz w:val="26"/>
          <w:shd w:val="clear" w:color="auto" w:fill="E7F4FF"/>
        </w:rPr>
        <w:t>7</w:t>
      </w:r>
      <w:r>
        <w:rPr>
          <w:rFonts w:hint="eastAsia"/>
          <w:spacing w:val="9"/>
          <w:sz w:val="26"/>
          <w:shd w:val="clear" w:color="auto" w:fill="E7F4FF"/>
        </w:rPr>
        <w:t>变成</w:t>
      </w:r>
      <w:r>
        <w:rPr>
          <w:rFonts w:hint="eastAsia"/>
          <w:spacing w:val="9"/>
          <w:sz w:val="26"/>
          <w:shd w:val="clear" w:color="auto" w:fill="E7F4FF"/>
        </w:rPr>
        <w:t>6.8</w:t>
      </w:r>
      <w:r>
        <w:rPr>
          <w:rFonts w:hint="eastAsia"/>
          <w:spacing w:val="9"/>
          <w:sz w:val="26"/>
          <w:shd w:val="clear" w:color="auto" w:fill="E7F4FF"/>
        </w:rPr>
        <w:t>，账面上，这笔钱折算成人民币就少了</w:t>
      </w:r>
      <w:r>
        <w:rPr>
          <w:rFonts w:hint="eastAsia"/>
          <w:spacing w:val="9"/>
          <w:sz w:val="26"/>
          <w:shd w:val="clear" w:color="auto" w:fill="E7F4FF"/>
        </w:rPr>
        <w:t>2000</w:t>
      </w:r>
      <w:r>
        <w:rPr>
          <w:rFonts w:hint="eastAsia"/>
          <w:spacing w:val="9"/>
          <w:sz w:val="26"/>
          <w:shd w:val="clear" w:color="auto" w:fill="E7F4FF"/>
        </w:rPr>
        <w:t>万元，要在利润表汇兑损益项下记一笔损失。但实际上，企业的</w:t>
      </w:r>
      <w:r>
        <w:rPr>
          <w:rFonts w:hint="eastAsia"/>
          <w:spacing w:val="9"/>
          <w:sz w:val="26"/>
          <w:shd w:val="clear" w:color="auto" w:fill="E7F4FF"/>
        </w:rPr>
        <w:t>1</w:t>
      </w:r>
      <w:r>
        <w:rPr>
          <w:rFonts w:hint="eastAsia"/>
          <w:spacing w:val="9"/>
          <w:sz w:val="26"/>
          <w:shd w:val="clear" w:color="auto" w:fill="E7F4FF"/>
        </w:rPr>
        <w:t>亿美元并未动用，这笔汇兑损益仅仅是账面浮亏，并不造成真正的现金损失。</w:t>
      </w:r>
    </w:p>
    <w:p w:rsidR="00B5163C" w:rsidRDefault="00AB1499">
      <w:pPr>
        <w:spacing w:after="300"/>
        <w:jc w:val="both"/>
      </w:pPr>
      <w:r>
        <w:rPr>
          <w:rFonts w:hint="eastAsia"/>
          <w:b/>
          <w:spacing w:val="9"/>
          <w:sz w:val="26"/>
          <w:shd w:val="clear" w:color="auto" w:fill="E7F4FF"/>
        </w:rPr>
        <w:t>二是在实际兑换结算时形成的</w:t>
      </w:r>
      <w:r>
        <w:rPr>
          <w:rFonts w:hint="eastAsia"/>
          <w:b/>
          <w:spacing w:val="9"/>
          <w:sz w:val="26"/>
          <w:shd w:val="clear" w:color="auto" w:fill="E7F4FF"/>
        </w:rPr>
        <w:t>真实汇兑损益。</w:t>
      </w:r>
      <w:r>
        <w:rPr>
          <w:rFonts w:hint="eastAsia"/>
          <w:spacing w:val="9"/>
          <w:sz w:val="26"/>
          <w:shd w:val="clear" w:color="auto" w:fill="E7F4FF"/>
        </w:rPr>
        <w:t>同样是上面的例子，</w:t>
      </w:r>
      <w:r>
        <w:rPr>
          <w:rFonts w:hint="eastAsia"/>
          <w:spacing w:val="9"/>
          <w:sz w:val="26"/>
          <w:shd w:val="clear" w:color="auto" w:fill="E7F4FF"/>
        </w:rPr>
        <w:t>3</w:t>
      </w:r>
      <w:r>
        <w:rPr>
          <w:rFonts w:hint="eastAsia"/>
          <w:spacing w:val="9"/>
          <w:sz w:val="26"/>
          <w:shd w:val="clear" w:color="auto" w:fill="E7F4FF"/>
        </w:rPr>
        <w:t>个月后，企业如果将</w:t>
      </w:r>
      <w:r>
        <w:rPr>
          <w:rFonts w:hint="eastAsia"/>
          <w:spacing w:val="9"/>
          <w:sz w:val="26"/>
          <w:shd w:val="clear" w:color="auto" w:fill="E7F4FF"/>
        </w:rPr>
        <w:t>1</w:t>
      </w:r>
      <w:r>
        <w:rPr>
          <w:rFonts w:hint="eastAsia"/>
          <w:spacing w:val="9"/>
          <w:sz w:val="26"/>
          <w:shd w:val="clear" w:color="auto" w:fill="E7F4FF"/>
        </w:rPr>
        <w:t>亿美元汇回国内并兑换成人民币使用，货币兑换时，美元兑人民币汇率从</w:t>
      </w:r>
      <w:r>
        <w:rPr>
          <w:rFonts w:hint="eastAsia"/>
          <w:spacing w:val="9"/>
          <w:sz w:val="26"/>
          <w:shd w:val="clear" w:color="auto" w:fill="E7F4FF"/>
        </w:rPr>
        <w:t>7</w:t>
      </w:r>
      <w:r>
        <w:rPr>
          <w:rFonts w:hint="eastAsia"/>
          <w:spacing w:val="9"/>
          <w:sz w:val="26"/>
          <w:shd w:val="clear" w:color="auto" w:fill="E7F4FF"/>
        </w:rPr>
        <w:t>变动到</w:t>
      </w:r>
      <w:r>
        <w:rPr>
          <w:rFonts w:hint="eastAsia"/>
          <w:spacing w:val="9"/>
          <w:sz w:val="26"/>
          <w:shd w:val="clear" w:color="auto" w:fill="E7F4FF"/>
        </w:rPr>
        <w:t>6.8</w:t>
      </w:r>
      <w:r>
        <w:rPr>
          <w:rFonts w:hint="eastAsia"/>
          <w:spacing w:val="9"/>
          <w:sz w:val="26"/>
          <w:shd w:val="clear" w:color="auto" w:fill="E7F4FF"/>
        </w:rPr>
        <w:t>，企业到手的人民币就少了</w:t>
      </w:r>
      <w:r>
        <w:rPr>
          <w:rFonts w:hint="eastAsia"/>
          <w:spacing w:val="9"/>
          <w:sz w:val="26"/>
          <w:shd w:val="clear" w:color="auto" w:fill="E7F4FF"/>
        </w:rPr>
        <w:t>2000</w:t>
      </w:r>
      <w:r>
        <w:rPr>
          <w:rFonts w:hint="eastAsia"/>
          <w:spacing w:val="9"/>
          <w:sz w:val="26"/>
          <w:shd w:val="clear" w:color="auto" w:fill="E7F4FF"/>
        </w:rPr>
        <w:t>万元，同样计入汇兑损益，此时，汇率波动就实实在在侵蚀了企业收益。</w:t>
      </w:r>
    </w:p>
    <w:p w:rsidR="00B5163C" w:rsidRDefault="00AB1499">
      <w:pPr>
        <w:spacing w:after="300"/>
        <w:jc w:val="both"/>
      </w:pPr>
      <w:r>
        <w:rPr>
          <w:rFonts w:hint="eastAsia"/>
          <w:spacing w:val="9"/>
          <w:sz w:val="26"/>
          <w:shd w:val="clear" w:color="auto" w:fill="E7F4FF"/>
        </w:rPr>
        <w:t>因此，当期账面汇兑损失的企业，未必经营出现问题；而有汇兑收益的企业，也未必真正锁定了利润。不少企业的</w:t>
      </w:r>
      <w:proofErr w:type="gramStart"/>
      <w:r>
        <w:rPr>
          <w:rFonts w:hint="eastAsia"/>
          <w:spacing w:val="9"/>
          <w:sz w:val="26"/>
          <w:shd w:val="clear" w:color="auto" w:fill="E7F4FF"/>
        </w:rPr>
        <w:t>海外营收直接</w:t>
      </w:r>
      <w:proofErr w:type="gramEnd"/>
      <w:r>
        <w:rPr>
          <w:rFonts w:hint="eastAsia"/>
          <w:spacing w:val="9"/>
          <w:sz w:val="26"/>
          <w:shd w:val="clear" w:color="auto" w:fill="E7F4FF"/>
        </w:rPr>
        <w:t>用于当地建厂、采购、用工，不做货币兑换，财报上的汇兑损益就只是记账币种转换形成的数字波动，企业账上</w:t>
      </w:r>
      <w:r>
        <w:rPr>
          <w:rFonts w:hint="eastAsia"/>
          <w:spacing w:val="9"/>
          <w:sz w:val="26"/>
          <w:shd w:val="clear" w:color="auto" w:fill="E7F4FF"/>
        </w:rPr>
        <w:t>1</w:t>
      </w:r>
      <w:r>
        <w:rPr>
          <w:rFonts w:hint="eastAsia"/>
          <w:spacing w:val="9"/>
          <w:sz w:val="26"/>
          <w:shd w:val="clear" w:color="auto" w:fill="E7F4FF"/>
        </w:rPr>
        <w:t>亿美元的</w:t>
      </w:r>
      <w:proofErr w:type="gramStart"/>
      <w:r>
        <w:rPr>
          <w:rFonts w:hint="eastAsia"/>
          <w:spacing w:val="9"/>
          <w:sz w:val="26"/>
          <w:shd w:val="clear" w:color="auto" w:fill="E7F4FF"/>
        </w:rPr>
        <w:t>的</w:t>
      </w:r>
      <w:proofErr w:type="gramEnd"/>
      <w:r>
        <w:rPr>
          <w:rFonts w:hint="eastAsia"/>
          <w:spacing w:val="9"/>
          <w:sz w:val="26"/>
          <w:shd w:val="clear" w:color="auto" w:fill="E7F4FF"/>
        </w:rPr>
        <w:t>购买能力，不会因为国内美元兑人民币汇率变动而增加或缩水。但是</w:t>
      </w:r>
      <w:r>
        <w:rPr>
          <w:rFonts w:hint="eastAsia"/>
          <w:spacing w:val="9"/>
          <w:sz w:val="26"/>
          <w:shd w:val="clear" w:color="auto" w:fill="E7F4FF"/>
        </w:rPr>
        <w:t>，一旦企业要将外币汇回国内并兑换成人民币，账面上</w:t>
      </w:r>
      <w:proofErr w:type="gramStart"/>
      <w:r>
        <w:rPr>
          <w:rFonts w:hint="eastAsia"/>
          <w:spacing w:val="9"/>
          <w:sz w:val="26"/>
          <w:shd w:val="clear" w:color="auto" w:fill="E7F4FF"/>
        </w:rPr>
        <w:t>的浮盈浮亏</w:t>
      </w:r>
      <w:proofErr w:type="gramEnd"/>
      <w:r>
        <w:rPr>
          <w:rFonts w:hint="eastAsia"/>
          <w:spacing w:val="9"/>
          <w:sz w:val="26"/>
          <w:shd w:val="clear" w:color="auto" w:fill="E7F4FF"/>
        </w:rPr>
        <w:t>就会转化为真实的购买力得失。</w:t>
      </w:r>
    </w:p>
    <w:p w:rsidR="00B5163C" w:rsidRDefault="00B5163C">
      <w:pPr>
        <w:jc w:val="both"/>
      </w:pPr>
    </w:p>
    <w:p w:rsidR="00B5163C" w:rsidRDefault="00AB1499">
      <w:pPr>
        <w:spacing w:before="150"/>
        <w:ind w:left="150" w:right="150"/>
        <w:jc w:val="center"/>
      </w:pPr>
      <w:r>
        <w:rPr>
          <w:color w:val="FFFFFF"/>
          <w:spacing w:val="15"/>
          <w:sz w:val="26"/>
          <w:shd w:val="clear" w:color="auto" w:fill="0089CE"/>
        </w:rPr>
        <w:t> </w:t>
      </w:r>
      <w:r>
        <w:rPr>
          <w:rFonts w:hint="eastAsia"/>
          <w:b/>
          <w:color w:val="FFFFFF"/>
          <w:spacing w:val="15"/>
          <w:sz w:val="26"/>
          <w:shd w:val="clear" w:color="auto" w:fill="0089CE"/>
        </w:rPr>
        <w:t>二、外汇套保是</w:t>
      </w:r>
      <w:proofErr w:type="gramStart"/>
      <w:r>
        <w:rPr>
          <w:rFonts w:hint="eastAsia"/>
          <w:b/>
          <w:color w:val="FFFFFF"/>
          <w:spacing w:val="15"/>
          <w:sz w:val="26"/>
          <w:shd w:val="clear" w:color="auto" w:fill="0089CE"/>
        </w:rPr>
        <w:t>企业汇率</w:t>
      </w:r>
      <w:proofErr w:type="gramEnd"/>
      <w:r>
        <w:rPr>
          <w:rFonts w:hint="eastAsia"/>
          <w:b/>
          <w:color w:val="FFFFFF"/>
          <w:spacing w:val="15"/>
          <w:sz w:val="26"/>
          <w:shd w:val="clear" w:color="auto" w:fill="0089CE"/>
        </w:rPr>
        <w:t>风险的“避雷针”</w:t>
      </w:r>
    </w:p>
    <w:p w:rsidR="00B5163C" w:rsidRDefault="00B5163C">
      <w:pPr>
        <w:jc w:val="both"/>
      </w:pPr>
    </w:p>
    <w:p w:rsidR="00B5163C" w:rsidRDefault="00B5163C">
      <w:pPr>
        <w:ind w:left="75" w:right="75"/>
        <w:jc w:val="both"/>
      </w:pPr>
    </w:p>
    <w:p w:rsidR="00B5163C" w:rsidRDefault="00AB1499">
      <w:pPr>
        <w:spacing w:after="300"/>
        <w:ind w:left="75" w:right="75"/>
        <w:jc w:val="both"/>
      </w:pPr>
      <w:r>
        <w:rPr>
          <w:rFonts w:hint="eastAsia"/>
          <w:spacing w:val="9"/>
          <w:sz w:val="26"/>
          <w:shd w:val="clear" w:color="auto" w:fill="E7F4FF"/>
        </w:rPr>
        <w:t>对于期末外币项目价值重</w:t>
      </w:r>
      <w:proofErr w:type="gramStart"/>
      <w:r>
        <w:rPr>
          <w:rFonts w:hint="eastAsia"/>
          <w:spacing w:val="9"/>
          <w:sz w:val="26"/>
          <w:shd w:val="clear" w:color="auto" w:fill="E7F4FF"/>
        </w:rPr>
        <w:t>估形成</w:t>
      </w:r>
      <w:proofErr w:type="gramEnd"/>
      <w:r>
        <w:rPr>
          <w:rFonts w:hint="eastAsia"/>
          <w:spacing w:val="9"/>
          <w:sz w:val="26"/>
          <w:shd w:val="clear" w:color="auto" w:fill="E7F4FF"/>
        </w:rPr>
        <w:t>的账面汇兑损益，企业不用过度紧张。但如果外币收入最终需要兑换成其他币种，就要主动做好汇率风险管理，可以使用外汇远期、掉期、期权等套保工具，锁定未来换汇的价格，对冲汇率波动带来的风险。</w:t>
      </w:r>
    </w:p>
    <w:p w:rsidR="00B5163C" w:rsidRDefault="00AB1499">
      <w:pPr>
        <w:spacing w:after="300"/>
        <w:ind w:left="75" w:right="75"/>
        <w:jc w:val="both"/>
      </w:pPr>
      <w:r>
        <w:rPr>
          <w:rFonts w:hint="eastAsia"/>
          <w:spacing w:val="9"/>
          <w:sz w:val="26"/>
          <w:shd w:val="clear" w:color="auto" w:fill="E7F4FF"/>
        </w:rPr>
        <w:t>同样是上面的例子，企业预计</w:t>
      </w:r>
      <w:r>
        <w:rPr>
          <w:rFonts w:hint="eastAsia"/>
          <w:spacing w:val="9"/>
          <w:sz w:val="26"/>
          <w:shd w:val="clear" w:color="auto" w:fill="E7F4FF"/>
        </w:rPr>
        <w:t>3</w:t>
      </w:r>
      <w:r>
        <w:rPr>
          <w:rFonts w:hint="eastAsia"/>
          <w:spacing w:val="9"/>
          <w:sz w:val="26"/>
          <w:shd w:val="clear" w:color="auto" w:fill="E7F4FF"/>
        </w:rPr>
        <w:t>个月后将</w:t>
      </w:r>
      <w:r>
        <w:rPr>
          <w:rFonts w:hint="eastAsia"/>
          <w:spacing w:val="9"/>
          <w:sz w:val="26"/>
          <w:shd w:val="clear" w:color="auto" w:fill="E7F4FF"/>
        </w:rPr>
        <w:t>1</w:t>
      </w:r>
      <w:r>
        <w:rPr>
          <w:rFonts w:hint="eastAsia"/>
          <w:spacing w:val="9"/>
          <w:sz w:val="26"/>
          <w:shd w:val="clear" w:color="auto" w:fill="E7F4FF"/>
        </w:rPr>
        <w:t>亿美元汇回国内结汇，为规避人民币升值风险，与银行签订远期结汇合约，锁定</w:t>
      </w:r>
      <w:r>
        <w:rPr>
          <w:rFonts w:hint="eastAsia"/>
          <w:spacing w:val="9"/>
          <w:sz w:val="26"/>
          <w:shd w:val="clear" w:color="auto" w:fill="E7F4FF"/>
        </w:rPr>
        <w:t>3</w:t>
      </w:r>
      <w:r>
        <w:rPr>
          <w:rFonts w:hint="eastAsia"/>
          <w:spacing w:val="9"/>
          <w:sz w:val="26"/>
          <w:shd w:val="clear" w:color="auto" w:fill="E7F4FF"/>
        </w:rPr>
        <w:t>个月后远期结汇汇率为</w:t>
      </w:r>
      <w:r>
        <w:rPr>
          <w:rFonts w:hint="eastAsia"/>
          <w:spacing w:val="9"/>
          <w:sz w:val="26"/>
          <w:shd w:val="clear" w:color="auto" w:fill="E7F4FF"/>
        </w:rPr>
        <w:t>6.95</w:t>
      </w:r>
      <w:r>
        <w:rPr>
          <w:rFonts w:hint="eastAsia"/>
          <w:spacing w:val="9"/>
          <w:sz w:val="26"/>
          <w:shd w:val="clear" w:color="auto" w:fill="E7F4FF"/>
        </w:rPr>
        <w:t>。</w:t>
      </w:r>
      <w:r>
        <w:rPr>
          <w:rFonts w:hint="eastAsia"/>
          <w:spacing w:val="9"/>
          <w:sz w:val="26"/>
          <w:shd w:val="clear" w:color="auto" w:fill="E7F4FF"/>
        </w:rPr>
        <w:t>3</w:t>
      </w:r>
      <w:r>
        <w:rPr>
          <w:rFonts w:hint="eastAsia"/>
          <w:spacing w:val="9"/>
          <w:sz w:val="26"/>
          <w:shd w:val="clear" w:color="auto" w:fill="E7F4FF"/>
        </w:rPr>
        <w:t>个月到期时，即期汇率变动为</w:t>
      </w:r>
      <w:r>
        <w:rPr>
          <w:rFonts w:hint="eastAsia"/>
          <w:spacing w:val="9"/>
          <w:sz w:val="26"/>
          <w:shd w:val="clear" w:color="auto" w:fill="E7F4FF"/>
        </w:rPr>
        <w:t>6.8</w:t>
      </w:r>
      <w:r>
        <w:rPr>
          <w:rFonts w:hint="eastAsia"/>
          <w:spacing w:val="9"/>
          <w:sz w:val="26"/>
          <w:shd w:val="clear" w:color="auto" w:fill="E7F4FF"/>
        </w:rPr>
        <w:t>，通过汇率套保，企业少损失了</w:t>
      </w:r>
      <w:r>
        <w:rPr>
          <w:rFonts w:hint="eastAsia"/>
          <w:spacing w:val="9"/>
          <w:sz w:val="26"/>
          <w:shd w:val="clear" w:color="auto" w:fill="E7F4FF"/>
        </w:rPr>
        <w:t>1500</w:t>
      </w:r>
      <w:r>
        <w:rPr>
          <w:rFonts w:hint="eastAsia"/>
          <w:spacing w:val="9"/>
          <w:sz w:val="26"/>
          <w:shd w:val="clear" w:color="auto" w:fill="E7F4FF"/>
        </w:rPr>
        <w:t>万元。</w:t>
      </w:r>
    </w:p>
    <w:p w:rsidR="00B5163C" w:rsidRDefault="00B5163C">
      <w:pPr>
        <w:jc w:val="both"/>
      </w:pPr>
    </w:p>
    <w:p w:rsidR="00B5163C" w:rsidRDefault="00B5163C">
      <w:pPr>
        <w:jc w:val="both"/>
      </w:pPr>
    </w:p>
    <w:p w:rsidR="00B5163C" w:rsidRDefault="00AB1499">
      <w:pPr>
        <w:spacing w:before="150"/>
        <w:ind w:left="150" w:right="150"/>
        <w:jc w:val="center"/>
      </w:pPr>
      <w:r>
        <w:rPr>
          <w:color w:val="FFFFFF"/>
          <w:spacing w:val="15"/>
          <w:sz w:val="26"/>
          <w:shd w:val="clear" w:color="auto" w:fill="0089CE"/>
        </w:rPr>
        <w:t> </w:t>
      </w:r>
      <w:r>
        <w:rPr>
          <w:rFonts w:hint="eastAsia"/>
          <w:b/>
          <w:color w:val="FFFFFF"/>
          <w:spacing w:val="15"/>
          <w:sz w:val="26"/>
          <w:shd w:val="clear" w:color="auto" w:fill="0089CE"/>
        </w:rPr>
        <w:t>三、看懂企业外汇套保“成绩单”：</w:t>
      </w:r>
    </w:p>
    <w:p w:rsidR="00B5163C" w:rsidRDefault="00AB1499">
      <w:pPr>
        <w:ind w:left="150" w:right="150"/>
        <w:jc w:val="center"/>
      </w:pPr>
      <w:r>
        <w:rPr>
          <w:rFonts w:hint="eastAsia"/>
          <w:b/>
          <w:color w:val="FFFFFF"/>
          <w:spacing w:val="15"/>
          <w:sz w:val="26"/>
          <w:shd w:val="clear" w:color="auto" w:fill="0089CE"/>
        </w:rPr>
        <w:t>将汇兑损益与套保损益合并看待</w:t>
      </w:r>
    </w:p>
    <w:p w:rsidR="00B5163C" w:rsidRDefault="00B5163C">
      <w:pPr>
        <w:jc w:val="both"/>
      </w:pPr>
    </w:p>
    <w:p w:rsidR="00B5163C" w:rsidRDefault="00B5163C">
      <w:pPr>
        <w:ind w:left="75" w:right="75"/>
        <w:jc w:val="both"/>
      </w:pPr>
    </w:p>
    <w:p w:rsidR="00B5163C" w:rsidRDefault="00AB1499">
      <w:pPr>
        <w:spacing w:after="300"/>
        <w:ind w:left="75" w:right="75"/>
        <w:jc w:val="both"/>
      </w:pPr>
      <w:r>
        <w:rPr>
          <w:rFonts w:hint="eastAsia"/>
          <w:spacing w:val="9"/>
          <w:sz w:val="26"/>
          <w:shd w:val="clear" w:color="auto" w:fill="E7F4FF"/>
        </w:rPr>
        <w:t>继续分析上面的例子，企业做了套保后，财务报表中的汇兑损益科目，从未套保的</w:t>
      </w:r>
      <w:r>
        <w:rPr>
          <w:rFonts w:hint="eastAsia"/>
          <w:spacing w:val="9"/>
          <w:sz w:val="26"/>
          <w:shd w:val="clear" w:color="auto" w:fill="E7F4FF"/>
        </w:rPr>
        <w:t>-2000</w:t>
      </w:r>
      <w:r>
        <w:rPr>
          <w:rFonts w:hint="eastAsia"/>
          <w:spacing w:val="9"/>
          <w:sz w:val="26"/>
          <w:shd w:val="clear" w:color="auto" w:fill="E7F4FF"/>
        </w:rPr>
        <w:t>万元减少到</w:t>
      </w:r>
      <w:r>
        <w:rPr>
          <w:rFonts w:hint="eastAsia"/>
          <w:spacing w:val="9"/>
          <w:sz w:val="26"/>
          <w:shd w:val="clear" w:color="auto" w:fill="E7F4FF"/>
        </w:rPr>
        <w:t>-500</w:t>
      </w:r>
      <w:r>
        <w:rPr>
          <w:rFonts w:hint="eastAsia"/>
          <w:spacing w:val="9"/>
          <w:sz w:val="26"/>
          <w:shd w:val="clear" w:color="auto" w:fill="E7F4FF"/>
        </w:rPr>
        <w:t>万元了吗？也就是，单看汇兑损益科目，可以看出企业少损失了</w:t>
      </w:r>
      <w:r>
        <w:rPr>
          <w:rFonts w:hint="eastAsia"/>
          <w:spacing w:val="9"/>
          <w:sz w:val="26"/>
          <w:shd w:val="clear" w:color="auto" w:fill="E7F4FF"/>
        </w:rPr>
        <w:t>1500</w:t>
      </w:r>
      <w:r>
        <w:rPr>
          <w:rFonts w:hint="eastAsia"/>
          <w:spacing w:val="9"/>
          <w:sz w:val="26"/>
          <w:shd w:val="clear" w:color="auto" w:fill="E7F4FF"/>
        </w:rPr>
        <w:t>万元吗？</w:t>
      </w:r>
    </w:p>
    <w:p w:rsidR="00B5163C" w:rsidRDefault="00AB1499">
      <w:pPr>
        <w:spacing w:after="300"/>
        <w:ind w:left="75" w:right="75"/>
        <w:jc w:val="both"/>
      </w:pPr>
      <w:r>
        <w:rPr>
          <w:rFonts w:hint="eastAsia"/>
          <w:spacing w:val="9"/>
          <w:sz w:val="26"/>
          <w:shd w:val="clear" w:color="auto" w:fill="E7F4FF"/>
        </w:rPr>
        <w:t>答案是否定的。根据现行会计准则，企业的汇兑损益</w:t>
      </w:r>
      <w:r>
        <w:rPr>
          <w:rFonts w:hint="eastAsia"/>
          <w:spacing w:val="9"/>
          <w:sz w:val="26"/>
          <w:shd w:val="clear" w:color="auto" w:fill="E7F4FF"/>
        </w:rPr>
        <w:t>与套保损益会被拆分列示：汇兑损益计入利润表“财务费用”，属于经常性损益；而套保损益计入利润表“公允价值变动损益”或“投资收益”，一般属于非经常性损益。上述案例中，汇兑损益项目还是记录了</w:t>
      </w:r>
      <w:r>
        <w:rPr>
          <w:rFonts w:hint="eastAsia"/>
          <w:spacing w:val="9"/>
          <w:sz w:val="26"/>
          <w:shd w:val="clear" w:color="auto" w:fill="E7F4FF"/>
        </w:rPr>
        <w:t>2000</w:t>
      </w:r>
      <w:r>
        <w:rPr>
          <w:rFonts w:hint="eastAsia"/>
          <w:spacing w:val="9"/>
          <w:sz w:val="26"/>
          <w:shd w:val="clear" w:color="auto" w:fill="E7F4FF"/>
        </w:rPr>
        <w:t>万元的损失，但外汇套</w:t>
      </w:r>
      <w:proofErr w:type="gramStart"/>
      <w:r>
        <w:rPr>
          <w:rFonts w:hint="eastAsia"/>
          <w:spacing w:val="9"/>
          <w:sz w:val="26"/>
          <w:shd w:val="clear" w:color="auto" w:fill="E7F4FF"/>
        </w:rPr>
        <w:t>保带来</w:t>
      </w:r>
      <w:proofErr w:type="gramEnd"/>
      <w:r>
        <w:rPr>
          <w:rFonts w:hint="eastAsia"/>
          <w:spacing w:val="9"/>
          <w:sz w:val="26"/>
          <w:shd w:val="clear" w:color="auto" w:fill="E7F4FF"/>
        </w:rPr>
        <w:t>的</w:t>
      </w:r>
      <w:r>
        <w:rPr>
          <w:rFonts w:hint="eastAsia"/>
          <w:spacing w:val="9"/>
          <w:sz w:val="26"/>
          <w:shd w:val="clear" w:color="auto" w:fill="E7F4FF"/>
        </w:rPr>
        <w:t>1500</w:t>
      </w:r>
      <w:r>
        <w:rPr>
          <w:rFonts w:hint="eastAsia"/>
          <w:spacing w:val="9"/>
          <w:sz w:val="26"/>
          <w:shd w:val="clear" w:color="auto" w:fill="E7F4FF"/>
        </w:rPr>
        <w:t>万元收益则被记录在投资收益科目。</w:t>
      </w:r>
    </w:p>
    <w:p w:rsidR="00B5163C" w:rsidRDefault="00AB1499">
      <w:pPr>
        <w:spacing w:after="300"/>
        <w:ind w:left="75" w:right="75"/>
        <w:jc w:val="both"/>
      </w:pPr>
      <w:r>
        <w:rPr>
          <w:rFonts w:hint="eastAsia"/>
          <w:spacing w:val="9"/>
          <w:sz w:val="26"/>
          <w:shd w:val="clear" w:color="auto" w:fill="E7F4FF"/>
        </w:rPr>
        <w:t>上市公司需披露归属于公司普通股股东的净利润以及扣除非经常性损益的净利润。前者包含了全部经常性、非经常性损益；后者剔除非经常性损益这类偶发损益，用以反映主营业务盈利水平。两类损益归属不同，造成两项利润指标存在差异，容易引发市场误读。仅看汇兑损益或者套保</w:t>
      </w:r>
      <w:r>
        <w:rPr>
          <w:rFonts w:hint="eastAsia"/>
          <w:spacing w:val="9"/>
          <w:sz w:val="26"/>
          <w:shd w:val="clear" w:color="auto" w:fill="E7F4FF"/>
        </w:rPr>
        <w:t>损益，无法完整体现对冲效果、评价套</w:t>
      </w:r>
      <w:proofErr w:type="gramStart"/>
      <w:r>
        <w:rPr>
          <w:rFonts w:hint="eastAsia"/>
          <w:spacing w:val="9"/>
          <w:sz w:val="26"/>
          <w:shd w:val="clear" w:color="auto" w:fill="E7F4FF"/>
        </w:rPr>
        <w:t>保真实</w:t>
      </w:r>
      <w:proofErr w:type="gramEnd"/>
      <w:r>
        <w:rPr>
          <w:rFonts w:hint="eastAsia"/>
          <w:spacing w:val="9"/>
          <w:sz w:val="26"/>
          <w:shd w:val="clear" w:color="auto" w:fill="E7F4FF"/>
        </w:rPr>
        <w:lastRenderedPageBreak/>
        <w:t>成效，应当将汇兑损益与套保损益合并</w:t>
      </w:r>
      <w:proofErr w:type="gramStart"/>
      <w:r>
        <w:rPr>
          <w:rFonts w:hint="eastAsia"/>
          <w:spacing w:val="9"/>
          <w:sz w:val="26"/>
          <w:shd w:val="clear" w:color="auto" w:fill="E7F4FF"/>
        </w:rPr>
        <w:t>并</w:t>
      </w:r>
      <w:proofErr w:type="gramEnd"/>
      <w:r>
        <w:rPr>
          <w:rFonts w:hint="eastAsia"/>
          <w:spacing w:val="9"/>
          <w:sz w:val="26"/>
          <w:shd w:val="clear" w:color="auto" w:fill="E7F4FF"/>
        </w:rPr>
        <w:t>综合判断。</w:t>
      </w:r>
    </w:p>
    <w:p w:rsidR="00B5163C" w:rsidRDefault="00B5163C">
      <w:pPr>
        <w:jc w:val="both"/>
      </w:pPr>
    </w:p>
    <w:p w:rsidR="00B5163C" w:rsidRDefault="00B5163C">
      <w:pPr>
        <w:jc w:val="both"/>
      </w:pPr>
    </w:p>
    <w:p w:rsidR="00B5163C" w:rsidRDefault="00AB1499">
      <w:pPr>
        <w:spacing w:before="150"/>
        <w:ind w:left="150" w:right="150"/>
        <w:jc w:val="center"/>
      </w:pPr>
      <w:r>
        <w:rPr>
          <w:color w:val="FFFFFF"/>
          <w:spacing w:val="15"/>
          <w:sz w:val="26"/>
          <w:shd w:val="clear" w:color="auto" w:fill="0089CE"/>
        </w:rPr>
        <w:t> </w:t>
      </w:r>
      <w:r>
        <w:rPr>
          <w:rFonts w:hint="eastAsia"/>
          <w:b/>
          <w:color w:val="FFFFFF"/>
          <w:spacing w:val="15"/>
          <w:sz w:val="26"/>
          <w:shd w:val="clear" w:color="auto" w:fill="0089CE"/>
        </w:rPr>
        <w:t>四、新会计准则落地后，汇兑损益与</w:t>
      </w:r>
    </w:p>
    <w:p w:rsidR="00B5163C" w:rsidRDefault="00AB1499">
      <w:pPr>
        <w:ind w:left="150" w:right="150"/>
        <w:jc w:val="center"/>
      </w:pPr>
      <w:r>
        <w:rPr>
          <w:rFonts w:hint="eastAsia"/>
          <w:b/>
          <w:color w:val="FFFFFF"/>
          <w:spacing w:val="15"/>
          <w:sz w:val="26"/>
          <w:shd w:val="clear" w:color="auto" w:fill="0089CE"/>
        </w:rPr>
        <w:t>套保损益将“合并呈现”</w:t>
      </w:r>
    </w:p>
    <w:p w:rsidR="00B5163C" w:rsidRDefault="00B5163C">
      <w:pPr>
        <w:jc w:val="both"/>
      </w:pPr>
    </w:p>
    <w:p w:rsidR="00B5163C" w:rsidRDefault="00B5163C">
      <w:pPr>
        <w:ind w:left="75" w:right="75"/>
        <w:jc w:val="both"/>
      </w:pPr>
    </w:p>
    <w:p w:rsidR="00B5163C" w:rsidRDefault="00AB1499">
      <w:pPr>
        <w:spacing w:after="300"/>
        <w:ind w:left="75" w:right="75"/>
        <w:jc w:val="both"/>
      </w:pPr>
      <w:r>
        <w:rPr>
          <w:rFonts w:hint="eastAsia"/>
          <w:spacing w:val="9"/>
          <w:sz w:val="26"/>
          <w:shd w:val="clear" w:color="auto" w:fill="E7F4FF"/>
        </w:rPr>
        <w:t>为解决财务报表碎片化、盈亏错配等问题，近期，财政部印发《企业会计准则第</w:t>
      </w:r>
      <w:r>
        <w:rPr>
          <w:rFonts w:hint="eastAsia"/>
          <w:spacing w:val="9"/>
          <w:sz w:val="26"/>
          <w:shd w:val="clear" w:color="auto" w:fill="E7F4FF"/>
        </w:rPr>
        <w:t>30</w:t>
      </w:r>
      <w:r>
        <w:rPr>
          <w:rFonts w:hint="eastAsia"/>
          <w:spacing w:val="9"/>
          <w:sz w:val="26"/>
          <w:shd w:val="clear" w:color="auto" w:fill="E7F4FF"/>
        </w:rPr>
        <w:t>号——财务报表列报》（以下称“新准则”），其中一项内容，就是对损益列报提出新要求。境内外同时上市的企业自</w:t>
      </w:r>
      <w:r>
        <w:rPr>
          <w:rFonts w:hint="eastAsia"/>
          <w:spacing w:val="9"/>
          <w:sz w:val="26"/>
          <w:shd w:val="clear" w:color="auto" w:fill="E7F4FF"/>
        </w:rPr>
        <w:t>2027</w:t>
      </w:r>
      <w:r>
        <w:rPr>
          <w:rFonts w:hint="eastAsia"/>
          <w:spacing w:val="9"/>
          <w:sz w:val="26"/>
          <w:shd w:val="clear" w:color="auto" w:fill="E7F4FF"/>
        </w:rPr>
        <w:t>年</w:t>
      </w:r>
      <w:r>
        <w:rPr>
          <w:rFonts w:hint="eastAsia"/>
          <w:spacing w:val="9"/>
          <w:sz w:val="26"/>
          <w:shd w:val="clear" w:color="auto" w:fill="E7F4FF"/>
        </w:rPr>
        <w:t>1</w:t>
      </w:r>
      <w:r>
        <w:rPr>
          <w:rFonts w:hint="eastAsia"/>
          <w:spacing w:val="9"/>
          <w:sz w:val="26"/>
          <w:shd w:val="clear" w:color="auto" w:fill="E7F4FF"/>
        </w:rPr>
        <w:t>月</w:t>
      </w:r>
      <w:r>
        <w:rPr>
          <w:rFonts w:hint="eastAsia"/>
          <w:spacing w:val="9"/>
          <w:sz w:val="26"/>
          <w:shd w:val="clear" w:color="auto" w:fill="E7F4FF"/>
        </w:rPr>
        <w:t>1</w:t>
      </w:r>
      <w:r>
        <w:rPr>
          <w:rFonts w:hint="eastAsia"/>
          <w:spacing w:val="9"/>
          <w:sz w:val="26"/>
          <w:shd w:val="clear" w:color="auto" w:fill="E7F4FF"/>
        </w:rPr>
        <w:t>日起执行新准则，其他上市企业自</w:t>
      </w:r>
      <w:r>
        <w:rPr>
          <w:rFonts w:hint="eastAsia"/>
          <w:spacing w:val="9"/>
          <w:sz w:val="26"/>
          <w:shd w:val="clear" w:color="auto" w:fill="E7F4FF"/>
        </w:rPr>
        <w:t>2029</w:t>
      </w:r>
      <w:r>
        <w:rPr>
          <w:rFonts w:hint="eastAsia"/>
          <w:spacing w:val="9"/>
          <w:sz w:val="26"/>
          <w:shd w:val="clear" w:color="auto" w:fill="E7F4FF"/>
        </w:rPr>
        <w:t>年</w:t>
      </w:r>
      <w:r>
        <w:rPr>
          <w:rFonts w:hint="eastAsia"/>
          <w:spacing w:val="9"/>
          <w:sz w:val="26"/>
          <w:shd w:val="clear" w:color="auto" w:fill="E7F4FF"/>
        </w:rPr>
        <w:t>1</w:t>
      </w:r>
      <w:r>
        <w:rPr>
          <w:rFonts w:hint="eastAsia"/>
          <w:spacing w:val="9"/>
          <w:sz w:val="26"/>
          <w:shd w:val="clear" w:color="auto" w:fill="E7F4FF"/>
        </w:rPr>
        <w:t>月</w:t>
      </w:r>
      <w:r>
        <w:rPr>
          <w:rFonts w:hint="eastAsia"/>
          <w:spacing w:val="9"/>
          <w:sz w:val="26"/>
          <w:shd w:val="clear" w:color="auto" w:fill="E7F4FF"/>
        </w:rPr>
        <w:t>1</w:t>
      </w:r>
      <w:r>
        <w:rPr>
          <w:rFonts w:hint="eastAsia"/>
          <w:spacing w:val="9"/>
          <w:sz w:val="26"/>
          <w:shd w:val="clear" w:color="auto" w:fill="E7F4FF"/>
        </w:rPr>
        <w:t>日起执行，非上市企业自</w:t>
      </w:r>
      <w:r>
        <w:rPr>
          <w:rFonts w:hint="eastAsia"/>
          <w:spacing w:val="9"/>
          <w:sz w:val="26"/>
          <w:shd w:val="clear" w:color="auto" w:fill="E7F4FF"/>
        </w:rPr>
        <w:t>2030</w:t>
      </w:r>
      <w:r>
        <w:rPr>
          <w:rFonts w:hint="eastAsia"/>
          <w:spacing w:val="9"/>
          <w:sz w:val="26"/>
          <w:shd w:val="clear" w:color="auto" w:fill="E7F4FF"/>
        </w:rPr>
        <w:t>年</w:t>
      </w:r>
      <w:r>
        <w:rPr>
          <w:rFonts w:hint="eastAsia"/>
          <w:spacing w:val="9"/>
          <w:sz w:val="26"/>
          <w:shd w:val="clear" w:color="auto" w:fill="E7F4FF"/>
        </w:rPr>
        <w:t>1</w:t>
      </w:r>
      <w:r>
        <w:rPr>
          <w:rFonts w:hint="eastAsia"/>
          <w:spacing w:val="9"/>
          <w:sz w:val="26"/>
          <w:shd w:val="clear" w:color="auto" w:fill="E7F4FF"/>
        </w:rPr>
        <w:t>月</w:t>
      </w:r>
      <w:r>
        <w:rPr>
          <w:rFonts w:hint="eastAsia"/>
          <w:spacing w:val="9"/>
          <w:sz w:val="26"/>
          <w:shd w:val="clear" w:color="auto" w:fill="E7F4FF"/>
        </w:rPr>
        <w:t>1</w:t>
      </w:r>
      <w:r>
        <w:rPr>
          <w:rFonts w:hint="eastAsia"/>
          <w:spacing w:val="9"/>
          <w:sz w:val="26"/>
          <w:shd w:val="clear" w:color="auto" w:fill="E7F4FF"/>
        </w:rPr>
        <w:t>日起执行，允许提前执行。</w:t>
      </w:r>
    </w:p>
    <w:p w:rsidR="00B5163C" w:rsidRDefault="00AB1499">
      <w:pPr>
        <w:spacing w:after="300"/>
        <w:ind w:left="75" w:right="75"/>
        <w:jc w:val="both"/>
      </w:pPr>
      <w:r>
        <w:rPr>
          <w:rFonts w:hint="eastAsia"/>
          <w:spacing w:val="9"/>
          <w:sz w:val="26"/>
          <w:shd w:val="clear" w:color="auto" w:fill="E7F4FF"/>
        </w:rPr>
        <w:t>新准则下，企业利润表将增设经营损益、投资损益、筹资损益三类列报类别。企业的汇兑损益和套保</w:t>
      </w:r>
      <w:proofErr w:type="gramStart"/>
      <w:r>
        <w:rPr>
          <w:rFonts w:hint="eastAsia"/>
          <w:spacing w:val="9"/>
          <w:sz w:val="26"/>
          <w:shd w:val="clear" w:color="auto" w:fill="E7F4FF"/>
        </w:rPr>
        <w:t>损益需</w:t>
      </w:r>
      <w:proofErr w:type="gramEnd"/>
      <w:r>
        <w:rPr>
          <w:rFonts w:hint="eastAsia"/>
          <w:spacing w:val="9"/>
          <w:sz w:val="26"/>
          <w:shd w:val="clear" w:color="auto" w:fill="E7F4FF"/>
        </w:rPr>
        <w:t>按照业务实质归入经营、投资、筹资、所得税费用、终止经营类别。该规则可以帮助投资者识别损益来源。例如，外币借款汇兑损益及配套外汇套</w:t>
      </w:r>
      <w:proofErr w:type="gramStart"/>
      <w:r>
        <w:rPr>
          <w:rFonts w:hint="eastAsia"/>
          <w:spacing w:val="9"/>
          <w:sz w:val="26"/>
          <w:shd w:val="clear" w:color="auto" w:fill="E7F4FF"/>
        </w:rPr>
        <w:t>保形成</w:t>
      </w:r>
      <w:proofErr w:type="gramEnd"/>
      <w:r>
        <w:rPr>
          <w:rFonts w:hint="eastAsia"/>
          <w:spacing w:val="9"/>
          <w:sz w:val="26"/>
          <w:shd w:val="clear" w:color="auto" w:fill="E7F4FF"/>
        </w:rPr>
        <w:t>的套保损益，列入筹资类；外币应收账款汇兑损益及配套外汇套</w:t>
      </w:r>
      <w:proofErr w:type="gramStart"/>
      <w:r>
        <w:rPr>
          <w:rFonts w:hint="eastAsia"/>
          <w:spacing w:val="9"/>
          <w:sz w:val="26"/>
          <w:shd w:val="clear" w:color="auto" w:fill="E7F4FF"/>
        </w:rPr>
        <w:t>保形成</w:t>
      </w:r>
      <w:proofErr w:type="gramEnd"/>
      <w:r>
        <w:rPr>
          <w:rFonts w:hint="eastAsia"/>
          <w:spacing w:val="9"/>
          <w:sz w:val="26"/>
          <w:shd w:val="clear" w:color="auto" w:fill="E7F4FF"/>
        </w:rPr>
        <w:t>的套保损益，列入经营类。前述案例中，企业的</w:t>
      </w:r>
      <w:r>
        <w:rPr>
          <w:rFonts w:hint="eastAsia"/>
          <w:spacing w:val="9"/>
          <w:sz w:val="26"/>
          <w:shd w:val="clear" w:color="auto" w:fill="E7F4FF"/>
        </w:rPr>
        <w:t>2000</w:t>
      </w:r>
      <w:r>
        <w:rPr>
          <w:rFonts w:hint="eastAsia"/>
          <w:spacing w:val="9"/>
          <w:sz w:val="26"/>
          <w:shd w:val="clear" w:color="auto" w:fill="E7F4FF"/>
        </w:rPr>
        <w:t>万元汇兑损失和</w:t>
      </w:r>
      <w:r>
        <w:rPr>
          <w:rFonts w:hint="eastAsia"/>
          <w:spacing w:val="9"/>
          <w:sz w:val="26"/>
          <w:shd w:val="clear" w:color="auto" w:fill="E7F4FF"/>
        </w:rPr>
        <w:t>1500</w:t>
      </w:r>
      <w:r>
        <w:rPr>
          <w:rFonts w:hint="eastAsia"/>
          <w:spacing w:val="9"/>
          <w:sz w:val="26"/>
          <w:shd w:val="clear" w:color="auto" w:fill="E7F4FF"/>
        </w:rPr>
        <w:t>万元衍生品收益，一并计入“经营”类损益，可在一定程度上解释衍生品是围绕经营主业而达成的，解决了以往“盈亏拆分、解读失真”的问题，更真实反映</w:t>
      </w:r>
      <w:proofErr w:type="gramStart"/>
      <w:r>
        <w:rPr>
          <w:rFonts w:hint="eastAsia"/>
          <w:spacing w:val="9"/>
          <w:sz w:val="26"/>
          <w:shd w:val="clear" w:color="auto" w:fill="E7F4FF"/>
        </w:rPr>
        <w:t>企业汇率</w:t>
      </w:r>
      <w:proofErr w:type="gramEnd"/>
      <w:r>
        <w:rPr>
          <w:rFonts w:hint="eastAsia"/>
          <w:spacing w:val="9"/>
          <w:sz w:val="26"/>
          <w:shd w:val="clear" w:color="auto" w:fill="E7F4FF"/>
        </w:rPr>
        <w:t>风险</w:t>
      </w:r>
      <w:r>
        <w:rPr>
          <w:rFonts w:hint="eastAsia"/>
          <w:spacing w:val="9"/>
          <w:sz w:val="26"/>
          <w:shd w:val="clear" w:color="auto" w:fill="E7F4FF"/>
        </w:rPr>
        <w:t>管理成效。</w:t>
      </w:r>
    </w:p>
    <w:p w:rsidR="00B5163C" w:rsidRDefault="00B5163C">
      <w:pPr>
        <w:jc w:val="both"/>
      </w:pPr>
    </w:p>
    <w:p w:rsidR="00B5163C" w:rsidRDefault="00B5163C">
      <w:pPr>
        <w:jc w:val="both"/>
      </w:pPr>
    </w:p>
    <w:p w:rsidR="00B5163C" w:rsidRDefault="00AB1499">
      <w:pPr>
        <w:spacing w:before="150"/>
        <w:ind w:left="150" w:right="150"/>
        <w:jc w:val="center"/>
      </w:pPr>
      <w:r>
        <w:rPr>
          <w:rFonts w:hint="eastAsia"/>
          <w:b/>
          <w:color w:val="FFFFFF"/>
          <w:spacing w:val="15"/>
          <w:sz w:val="26"/>
          <w:shd w:val="clear" w:color="auto" w:fill="0089CE"/>
        </w:rPr>
        <w:t>五、实务总结：理性看待汇兑损益，</w:t>
      </w:r>
    </w:p>
    <w:p w:rsidR="00B5163C" w:rsidRDefault="00AB1499">
      <w:pPr>
        <w:ind w:left="150" w:right="150"/>
        <w:jc w:val="center"/>
      </w:pPr>
      <w:r>
        <w:rPr>
          <w:rFonts w:hint="eastAsia"/>
          <w:b/>
          <w:color w:val="FFFFFF"/>
          <w:spacing w:val="15"/>
          <w:sz w:val="26"/>
          <w:shd w:val="clear" w:color="auto" w:fill="0089CE"/>
        </w:rPr>
        <w:t>做实汇率风险管理</w:t>
      </w:r>
    </w:p>
    <w:p w:rsidR="00B5163C" w:rsidRDefault="00B5163C">
      <w:pPr>
        <w:jc w:val="both"/>
      </w:pPr>
    </w:p>
    <w:p w:rsidR="00B5163C" w:rsidRDefault="00B5163C">
      <w:pPr>
        <w:ind w:left="75" w:right="75"/>
        <w:jc w:val="both"/>
      </w:pPr>
    </w:p>
    <w:p w:rsidR="00B5163C" w:rsidRDefault="00AB1499">
      <w:pPr>
        <w:spacing w:after="300"/>
        <w:ind w:left="75" w:right="75"/>
        <w:jc w:val="both"/>
      </w:pPr>
      <w:r>
        <w:rPr>
          <w:rFonts w:hint="eastAsia"/>
          <w:spacing w:val="9"/>
          <w:sz w:val="26"/>
          <w:shd w:val="clear" w:color="auto" w:fill="E7F4FF"/>
        </w:rPr>
        <w:t>汇兑损益是跨境经营企业的周期常态，绝非企业经营优劣的评判标准。对于企业而言，真正的风险从来不是可控的账面汇兑波动，而</w:t>
      </w:r>
      <w:r>
        <w:rPr>
          <w:rFonts w:hint="eastAsia"/>
          <w:spacing w:val="9"/>
          <w:sz w:val="26"/>
          <w:shd w:val="clear" w:color="auto" w:fill="E7F4FF"/>
        </w:rPr>
        <w:lastRenderedPageBreak/>
        <w:t>是放弃风控、放任敞口的经营侥幸。</w:t>
      </w:r>
    </w:p>
    <w:p w:rsidR="00B5163C" w:rsidRDefault="00AB1499">
      <w:pPr>
        <w:spacing w:after="300"/>
        <w:ind w:left="75" w:right="75"/>
        <w:jc w:val="both"/>
      </w:pPr>
      <w:r>
        <w:rPr>
          <w:rFonts w:hint="eastAsia"/>
          <w:spacing w:val="9"/>
          <w:sz w:val="26"/>
          <w:shd w:val="clear" w:color="auto" w:fill="E7F4FF"/>
        </w:rPr>
        <w:t>对于汇兑损益，企业要分清“账面波动”和“真实业绩”的区别，将汇兑损益和套保损益合并看待，合理评价套保效果；上市企业应主动透明披露，引导市场理性认知。更重要的是，要科学计算外币敞口，建立</w:t>
      </w:r>
      <w:proofErr w:type="gramStart"/>
      <w:r>
        <w:rPr>
          <w:rFonts w:hint="eastAsia"/>
          <w:spacing w:val="9"/>
          <w:sz w:val="26"/>
          <w:shd w:val="clear" w:color="auto" w:fill="E7F4FF"/>
        </w:rPr>
        <w:t>汇率风控机制</w:t>
      </w:r>
      <w:proofErr w:type="gramEnd"/>
      <w:r>
        <w:rPr>
          <w:rFonts w:hint="eastAsia"/>
          <w:spacing w:val="9"/>
          <w:sz w:val="26"/>
          <w:shd w:val="clear" w:color="auto" w:fill="E7F4FF"/>
        </w:rPr>
        <w:t>，不因汇率短期行情或舆论风向随意调整策略，坚持</w:t>
      </w:r>
      <w:proofErr w:type="gramStart"/>
      <w:r>
        <w:rPr>
          <w:rFonts w:hint="eastAsia"/>
          <w:spacing w:val="9"/>
          <w:sz w:val="26"/>
          <w:shd w:val="clear" w:color="auto" w:fill="E7F4FF"/>
        </w:rPr>
        <w:t>常态化套保</w:t>
      </w:r>
      <w:proofErr w:type="gramEnd"/>
      <w:r>
        <w:rPr>
          <w:rFonts w:hint="eastAsia"/>
          <w:spacing w:val="9"/>
          <w:sz w:val="26"/>
          <w:shd w:val="clear" w:color="auto" w:fill="E7F4FF"/>
        </w:rPr>
        <w:t>，才能把不确定性变为确定性，守住经营底</w:t>
      </w:r>
      <w:r>
        <w:rPr>
          <w:rFonts w:hint="eastAsia"/>
          <w:spacing w:val="9"/>
          <w:sz w:val="26"/>
          <w:shd w:val="clear" w:color="auto" w:fill="E7F4FF"/>
        </w:rPr>
        <w:t>线。</w:t>
      </w:r>
    </w:p>
    <w:p w:rsidR="00B5163C" w:rsidRDefault="00B5163C">
      <w:pPr>
        <w:jc w:val="both"/>
      </w:pPr>
    </w:p>
    <w:p w:rsidR="00B5163C" w:rsidRDefault="00B5163C">
      <w:pPr>
        <w:jc w:val="both"/>
      </w:pPr>
    </w:p>
    <w:p w:rsidR="00B5163C" w:rsidRDefault="00AB1499">
      <w:pPr>
        <w:jc w:val="both"/>
      </w:pPr>
      <w:r>
        <w:rPr>
          <w:rFonts w:hint="eastAsia"/>
          <w:spacing w:val="9"/>
          <w:sz w:val="26"/>
        </w:rPr>
        <w:t>供稿：中国建设银行</w:t>
      </w:r>
    </w:p>
    <w:p w:rsidR="00B5163C" w:rsidRDefault="00AB1499">
      <w:pPr>
        <w:jc w:val="both"/>
      </w:pPr>
      <w:r>
        <w:rPr>
          <w:rFonts w:hint="eastAsia"/>
          <w:spacing w:val="9"/>
          <w:sz w:val="26"/>
        </w:rPr>
        <w:t>审稿：外汇市场自律机制专家组</w:t>
      </w:r>
    </w:p>
    <w:p w:rsidR="00B5163C" w:rsidRDefault="00AB1499">
      <w:pPr>
        <w:jc w:val="center"/>
      </w:pPr>
      <w:r>
        <w:rPr>
          <w:noProof/>
        </w:rPr>
        <w:lastRenderedPageBreak/>
        <w:drawing>
          <wp:inline distT="0" distB="0" distL="0" distR="0">
            <wp:extent cx="5236210" cy="8423753"/>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9" name="picture" descr="descript"/>
                    <pic:cNvPicPr/>
                  </pic:nvPicPr>
                  <pic:blipFill rotWithShape="1">
                    <a:blip r:embed="rId6"/>
                    <a:srcRect/>
                    <a:stretch/>
                  </pic:blipFill>
                  <pic:spPr>
                    <a:xfrm rot="21600000">
                      <a:off x="0" y="0"/>
                      <a:ext cx="5236210" cy="8423753"/>
                    </a:xfrm>
                    <a:prstGeom prst="rect">
                      <a:avLst/>
                    </a:prstGeom>
                  </pic:spPr>
                </pic:pic>
              </a:graphicData>
            </a:graphic>
          </wp:inline>
        </w:drawing>
      </w:r>
    </w:p>
    <w:p w:rsidR="00B5163C" w:rsidRDefault="00B5163C"/>
    <w:sectPr w:rsidR="00B5163C">
      <w:pgSz w:w="11906" w:h="16838"/>
      <w:pgMar w:top="1440" w:right="1800" w:bottom="1440" w:left="1800" w:header="712" w:footer="85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norHAnsi">
    <w:altName w:val="Times New Roman"/>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2"/>
  </w:compat>
  <w:rsids>
    <w:rsidRoot w:val="00B5163C"/>
    <w:rsid w:val="00AB1499"/>
    <w:rsid w:val="00B51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norHAnsi" w:eastAsiaTheme="minorEastAsia" w:hAnsi="minorHAnsi" w:cstheme="minorBidi"/>
        <w:color w:val="333333"/>
        <w:kern w:val="2"/>
        <w:sz w:val="22"/>
        <w:szCs w:val="22"/>
        <w:lang w:val="en-US" w:eastAsia="zh-CN" w:bidi="ar-SA"/>
      </w:rPr>
    </w:rPrDefault>
    <w:pPrDefault>
      <w:pPr>
        <w:snapToGrid w:val="0"/>
        <w:spacing w:before="60" w:after="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paragraph" w:styleId="1">
    <w:name w:val="heading 1"/>
    <w:basedOn w:val="a"/>
    <w:next w:val="a"/>
    <w:uiPriority w:val="9"/>
    <w:qFormat/>
    <w:pPr>
      <w:keepNext/>
      <w:keepLines/>
      <w:spacing w:before="0" w:after="0" w:line="408" w:lineRule="auto"/>
      <w:outlineLvl w:val="0"/>
    </w:pPr>
    <w:rPr>
      <w:b/>
      <w:bCs/>
      <w:color w:val="1A1A1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B1499"/>
    <w:pPr>
      <w:spacing w:before="0" w:after="0" w:line="240" w:lineRule="auto"/>
    </w:pPr>
    <w:rPr>
      <w:sz w:val="18"/>
      <w:szCs w:val="18"/>
    </w:rPr>
  </w:style>
  <w:style w:type="character" w:customStyle="1" w:styleId="Char">
    <w:name w:val="批注框文本 Char"/>
    <w:basedOn w:val="a0"/>
    <w:link w:val="a3"/>
    <w:uiPriority w:val="99"/>
    <w:semiHidden/>
    <w:rsid w:val="00AB14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361</Words>
  <Characters>2064</Characters>
  <Application>Microsoft Office Word</Application>
  <DocSecurity>0</DocSecurity>
  <Lines>17</Lines>
  <Paragraphs>4</Paragraphs>
  <ScaleCrop>false</ScaleCrop>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乔华</cp:lastModifiedBy>
  <cp:revision>2</cp:revision>
  <dcterms:created xsi:type="dcterms:W3CDTF">2026-10-19T17:26:00Z</dcterms:created>
  <dcterms:modified xsi:type="dcterms:W3CDTF">2026-10-19T09:41:00Z</dcterms:modified>
</cp:coreProperties>
</file>